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45" w:rsidRDefault="00326D9A" w:rsidP="00117845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26D9A">
        <w:rPr>
          <w:rFonts w:asciiTheme="majorBidi" w:hAnsiTheme="majorBidi" w:cstheme="majorBidi"/>
          <w:b/>
          <w:bCs/>
          <w:sz w:val="24"/>
          <w:szCs w:val="24"/>
        </w:rPr>
        <w:drawing>
          <wp:inline distT="0" distB="0" distL="0" distR="0">
            <wp:extent cx="4467225" cy="284797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7845" w:rsidRDefault="00117845" w:rsidP="00117845">
      <w:pPr>
        <w:pStyle w:val="NoSpacing"/>
        <w:spacing w:line="480" w:lineRule="auto"/>
        <w:jc w:val="both"/>
        <w:rPr>
          <w:rFonts w:asciiTheme="minorBidi" w:hAnsiTheme="minorBidi"/>
          <w:color w:val="000000"/>
          <w:sz w:val="16"/>
          <w:szCs w:val="16"/>
        </w:rPr>
      </w:pPr>
      <w:r>
        <w:rPr>
          <w:rFonts w:asciiTheme="minorBidi" w:hAnsiTheme="minorBidi"/>
          <w:b/>
          <w:bCs/>
          <w:color w:val="000000"/>
          <w:sz w:val="16"/>
          <w:szCs w:val="16"/>
        </w:rPr>
        <w:t xml:space="preserve">Figure </w:t>
      </w:r>
      <w:r w:rsidRPr="008E6E4C">
        <w:rPr>
          <w:rFonts w:asciiTheme="minorBidi" w:hAnsiTheme="minorBidi"/>
          <w:b/>
          <w:bCs/>
          <w:color w:val="000000"/>
          <w:sz w:val="16"/>
          <w:szCs w:val="16"/>
        </w:rPr>
        <w:t xml:space="preserve">5. </w:t>
      </w:r>
      <w:r w:rsidRPr="008E6E4C">
        <w:rPr>
          <w:rFonts w:asciiTheme="minorBidi" w:hAnsiTheme="minorBidi"/>
          <w:color w:val="000000"/>
          <w:sz w:val="16"/>
          <w:szCs w:val="16"/>
        </w:rPr>
        <w:t xml:space="preserve">Typical adsorption isotherms of </w:t>
      </w:r>
      <w:r w:rsidRPr="008E6E4C">
        <w:rPr>
          <w:rFonts w:asciiTheme="minorBidi" w:hAnsiTheme="minorBidi"/>
          <w:sz w:val="16"/>
          <w:szCs w:val="16"/>
        </w:rPr>
        <w:t>CR on Mg-Al-LDH nanocompound</w:t>
      </w:r>
      <w:r>
        <w:rPr>
          <w:rFonts w:asciiTheme="minorBidi" w:hAnsiTheme="minorBidi"/>
          <w:sz w:val="16"/>
          <w:szCs w:val="16"/>
        </w:rPr>
        <w:t>.</w:t>
      </w:r>
      <w:r w:rsidRPr="008E6E4C">
        <w:rPr>
          <w:rFonts w:asciiTheme="minorBidi" w:hAnsiTheme="minorBidi"/>
          <w:sz w:val="16"/>
          <w:szCs w:val="16"/>
        </w:rPr>
        <w:t xml:space="preserve"> </w:t>
      </w:r>
      <w:r>
        <w:rPr>
          <w:rFonts w:asciiTheme="minorBidi" w:hAnsiTheme="minorBidi"/>
          <w:color w:val="000000"/>
          <w:sz w:val="16"/>
          <w:szCs w:val="16"/>
        </w:rPr>
        <w:t>Different regions according to the ARIAN model are shown in the diagram.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7AB" w:rsidRDefault="002E27AB" w:rsidP="00525EF0">
      <w:pPr>
        <w:spacing w:after="0" w:line="240" w:lineRule="auto"/>
      </w:pPr>
      <w:r>
        <w:separator/>
      </w:r>
    </w:p>
  </w:endnote>
  <w:endnote w:type="continuationSeparator" w:id="1">
    <w:p w:rsidR="002E27AB" w:rsidRDefault="002E27AB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7AB" w:rsidRDefault="002E27AB" w:rsidP="00525EF0">
      <w:pPr>
        <w:spacing w:after="0" w:line="240" w:lineRule="auto"/>
      </w:pPr>
      <w:r>
        <w:separator/>
      </w:r>
    </w:p>
  </w:footnote>
  <w:footnote w:type="continuationSeparator" w:id="1">
    <w:p w:rsidR="002E27AB" w:rsidRDefault="002E27AB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8D8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2D91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7AB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D9A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AAF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0819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4223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1B68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06EA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Beiranvend%20MSc%20Thesis\LDH(BEIRANVAND)\LDH%20Isotherm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>
        <c:manualLayout>
          <c:layoutTarget val="inner"/>
          <c:xMode val="edge"/>
          <c:yMode val="edge"/>
          <c:x val="9.5640603064151883E-2"/>
          <c:y val="7.0393545939500965E-2"/>
          <c:w val="0.84422011730563273"/>
          <c:h val="0.78462692163479564"/>
        </c:manualLayout>
      </c:layout>
      <c:scatterChart>
        <c:scatterStyle val="lineMarker"/>
        <c:ser>
          <c:idx val="1"/>
          <c:order val="0"/>
          <c:tx>
            <c:v>Region I</c:v>
          </c:tx>
          <c:spPr>
            <a:ln w="28575">
              <a:noFill/>
            </a:ln>
          </c:spPr>
          <c:marker>
            <c:symbol val="square"/>
            <c:size val="7"/>
            <c:spPr>
              <a:solidFill>
                <a:srgbClr val="FFC000"/>
              </a:solidFill>
            </c:spPr>
          </c:marker>
          <c:xVal>
            <c:numRef>
              <c:f>'35'!$K$29:$K$46</c:f>
              <c:numCache>
                <c:formatCode>0.00E+00</c:formatCode>
                <c:ptCount val="18"/>
                <c:pt idx="0" formatCode="General">
                  <c:v>6.7001124110079545E-5</c:v>
                </c:pt>
                <c:pt idx="1">
                  <c:v>6.0000000000000015E-5</c:v>
                </c:pt>
                <c:pt idx="2" formatCode="General">
                  <c:v>5.0389275157167269E-5</c:v>
                </c:pt>
                <c:pt idx="3">
                  <c:v>4.4100000000000015E-5</c:v>
                </c:pt>
                <c:pt idx="4" formatCode="General">
                  <c:v>4.4144219159831819E-5</c:v>
                </c:pt>
                <c:pt idx="5" formatCode="General">
                  <c:v>3.6941587909571602E-5</c:v>
                </c:pt>
                <c:pt idx="6">
                  <c:v>3.1000000000000008E-5</c:v>
                </c:pt>
                <c:pt idx="7">
                  <c:v>2.7000000000000006E-5</c:v>
                </c:pt>
                <c:pt idx="8" formatCode="General">
                  <c:v>2.3119197302135811E-5</c:v>
                </c:pt>
                <c:pt idx="9">
                  <c:v>1.7900000000000005E-5</c:v>
                </c:pt>
                <c:pt idx="10" formatCode="General">
                  <c:v>1.7914983971022942E-5</c:v>
                </c:pt>
                <c:pt idx="11">
                  <c:v>1.3200000000000004E-5</c:v>
                </c:pt>
                <c:pt idx="12" formatCode="General">
                  <c:v>9.3384404013489366E-6</c:v>
                </c:pt>
                <c:pt idx="13" formatCode="General">
                  <c:v>5.9661101627877929E-6</c:v>
                </c:pt>
                <c:pt idx="14">
                  <c:v>3.5100000000000011E-6</c:v>
                </c:pt>
                <c:pt idx="15" formatCode="General">
                  <c:v>3.5097214705025207E-6</c:v>
                </c:pt>
                <c:pt idx="16" formatCode="General">
                  <c:v>8.8679795162163336E-7</c:v>
                </c:pt>
                <c:pt idx="17" formatCode="General">
                  <c:v>0</c:v>
                </c:pt>
              </c:numCache>
            </c:numRef>
          </c:xVal>
          <c:yVal>
            <c:numRef>
              <c:f>'35'!$L$29:$L$46</c:f>
              <c:numCache>
                <c:formatCode>General</c:formatCode>
                <c:ptCount val="18"/>
                <c:pt idx="15">
                  <c:v>19.65877147982485</c:v>
                </c:pt>
                <c:pt idx="16">
                  <c:v>6.400797126188146</c:v>
                </c:pt>
                <c:pt idx="17">
                  <c:v>0</c:v>
                </c:pt>
              </c:numCache>
            </c:numRef>
          </c:yVal>
        </c:ser>
        <c:ser>
          <c:idx val="2"/>
          <c:order val="1"/>
          <c:tx>
            <c:v>Region II (section IIA)</c:v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FF0000"/>
              </a:solidFill>
              <a:ln>
                <a:noFill/>
              </a:ln>
            </c:spPr>
          </c:marker>
          <c:xVal>
            <c:numRef>
              <c:f>'35'!$K$29:$K$46</c:f>
              <c:numCache>
                <c:formatCode>0.00E+00</c:formatCode>
                <c:ptCount val="18"/>
                <c:pt idx="0" formatCode="General">
                  <c:v>6.7001124110079545E-5</c:v>
                </c:pt>
                <c:pt idx="1">
                  <c:v>6.0000000000000015E-5</c:v>
                </c:pt>
                <c:pt idx="2" formatCode="General">
                  <c:v>5.0389275157167269E-5</c:v>
                </c:pt>
                <c:pt idx="3">
                  <c:v>4.4100000000000015E-5</c:v>
                </c:pt>
                <c:pt idx="4" formatCode="General">
                  <c:v>4.4144219159831819E-5</c:v>
                </c:pt>
                <c:pt idx="5" formatCode="General">
                  <c:v>3.6941587909571602E-5</c:v>
                </c:pt>
                <c:pt idx="6">
                  <c:v>3.1000000000000008E-5</c:v>
                </c:pt>
                <c:pt idx="7">
                  <c:v>2.7000000000000006E-5</c:v>
                </c:pt>
                <c:pt idx="8" formatCode="General">
                  <c:v>2.3119197302135811E-5</c:v>
                </c:pt>
                <c:pt idx="9">
                  <c:v>1.7900000000000005E-5</c:v>
                </c:pt>
                <c:pt idx="10" formatCode="General">
                  <c:v>1.7914983971022942E-5</c:v>
                </c:pt>
                <c:pt idx="11">
                  <c:v>1.3200000000000004E-5</c:v>
                </c:pt>
                <c:pt idx="12" formatCode="General">
                  <c:v>9.3384404013489366E-6</c:v>
                </c:pt>
                <c:pt idx="13" formatCode="General">
                  <c:v>5.9661101627877929E-6</c:v>
                </c:pt>
                <c:pt idx="14">
                  <c:v>3.5100000000000011E-6</c:v>
                </c:pt>
                <c:pt idx="15" formatCode="General">
                  <c:v>3.5097214705025207E-6</c:v>
                </c:pt>
                <c:pt idx="16" formatCode="General">
                  <c:v>8.8679795162163336E-7</c:v>
                </c:pt>
                <c:pt idx="17" formatCode="General">
                  <c:v>0</c:v>
                </c:pt>
              </c:numCache>
            </c:numRef>
          </c:xVal>
          <c:yVal>
            <c:numRef>
              <c:f>'35'!$M$29:$M$46</c:f>
              <c:numCache>
                <c:formatCode>General</c:formatCode>
                <c:ptCount val="18"/>
                <c:pt idx="10">
                  <c:v>38.2688512124871</c:v>
                </c:pt>
                <c:pt idx="11">
                  <c:v>35.5</c:v>
                </c:pt>
                <c:pt idx="12">
                  <c:v>33.761282318164795</c:v>
                </c:pt>
                <c:pt idx="13">
                  <c:v>28.607044063601172</c:v>
                </c:pt>
                <c:pt idx="14">
                  <c:v>19.66</c:v>
                </c:pt>
              </c:numCache>
            </c:numRef>
          </c:yVal>
        </c:ser>
        <c:ser>
          <c:idx val="3"/>
          <c:order val="2"/>
          <c:tx>
            <c:v>Region II (section IIB)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00B0F0"/>
                </a:solidFill>
              </a:ln>
            </c:spPr>
          </c:marker>
          <c:xVal>
            <c:numRef>
              <c:f>'35'!$K$29:$K$46</c:f>
              <c:numCache>
                <c:formatCode>0.00E+00</c:formatCode>
                <c:ptCount val="18"/>
                <c:pt idx="0" formatCode="General">
                  <c:v>6.7001124110079545E-5</c:v>
                </c:pt>
                <c:pt idx="1">
                  <c:v>6.0000000000000015E-5</c:v>
                </c:pt>
                <c:pt idx="2" formatCode="General">
                  <c:v>5.0389275157167269E-5</c:v>
                </c:pt>
                <c:pt idx="3">
                  <c:v>4.4100000000000015E-5</c:v>
                </c:pt>
                <c:pt idx="4" formatCode="General">
                  <c:v>4.4144219159831819E-5</c:v>
                </c:pt>
                <c:pt idx="5" formatCode="General">
                  <c:v>3.6941587909571602E-5</c:v>
                </c:pt>
                <c:pt idx="6">
                  <c:v>3.1000000000000008E-5</c:v>
                </c:pt>
                <c:pt idx="7">
                  <c:v>2.7000000000000006E-5</c:v>
                </c:pt>
                <c:pt idx="8" formatCode="General">
                  <c:v>2.3119197302135811E-5</c:v>
                </c:pt>
                <c:pt idx="9">
                  <c:v>1.7900000000000005E-5</c:v>
                </c:pt>
                <c:pt idx="10" formatCode="General">
                  <c:v>1.7914983971022942E-5</c:v>
                </c:pt>
                <c:pt idx="11">
                  <c:v>1.3200000000000004E-5</c:v>
                </c:pt>
                <c:pt idx="12" formatCode="General">
                  <c:v>9.3384404013489366E-6</c:v>
                </c:pt>
                <c:pt idx="13" formatCode="General">
                  <c:v>5.9661101627877929E-6</c:v>
                </c:pt>
                <c:pt idx="14">
                  <c:v>3.5100000000000011E-6</c:v>
                </c:pt>
                <c:pt idx="15" formatCode="General">
                  <c:v>3.5097214705025207E-6</c:v>
                </c:pt>
                <c:pt idx="16" formatCode="General">
                  <c:v>8.8679795162163336E-7</c:v>
                </c:pt>
                <c:pt idx="17" formatCode="General">
                  <c:v>0</c:v>
                </c:pt>
              </c:numCache>
            </c:numRef>
          </c:xVal>
          <c:yVal>
            <c:numRef>
              <c:f>'35'!$N$29:$N$46</c:f>
              <c:numCache>
                <c:formatCode>General</c:formatCode>
                <c:ptCount val="18"/>
                <c:pt idx="4">
                  <c:v>85.774706095769389</c:v>
                </c:pt>
                <c:pt idx="5">
                  <c:v>76.494635080561267</c:v>
                </c:pt>
                <c:pt idx="6">
                  <c:v>69</c:v>
                </c:pt>
                <c:pt idx="7">
                  <c:v>63</c:v>
                </c:pt>
                <c:pt idx="8">
                  <c:v>53.455363670427573</c:v>
                </c:pt>
                <c:pt idx="9">
                  <c:v>38.260000000000005</c:v>
                </c:pt>
              </c:numCache>
            </c:numRef>
          </c:yVal>
        </c:ser>
        <c:ser>
          <c:idx val="4"/>
          <c:order val="3"/>
          <c:tx>
            <c:v>Region IV (plateau)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002060"/>
              </a:solidFill>
              <a:ln>
                <a:noFill/>
              </a:ln>
            </c:spPr>
          </c:marker>
          <c:xVal>
            <c:numRef>
              <c:f>'35'!$K$29:$K$46</c:f>
              <c:numCache>
                <c:formatCode>0.00E+00</c:formatCode>
                <c:ptCount val="18"/>
                <c:pt idx="0" formatCode="General">
                  <c:v>6.7001124110079545E-5</c:v>
                </c:pt>
                <c:pt idx="1">
                  <c:v>6.0000000000000015E-5</c:v>
                </c:pt>
                <c:pt idx="2" formatCode="General">
                  <c:v>5.0389275157167269E-5</c:v>
                </c:pt>
                <c:pt idx="3">
                  <c:v>4.4100000000000015E-5</c:v>
                </c:pt>
                <c:pt idx="4" formatCode="General">
                  <c:v>4.4144219159831819E-5</c:v>
                </c:pt>
                <c:pt idx="5" formatCode="General">
                  <c:v>3.6941587909571602E-5</c:v>
                </c:pt>
                <c:pt idx="6">
                  <c:v>3.1000000000000008E-5</c:v>
                </c:pt>
                <c:pt idx="7">
                  <c:v>2.7000000000000006E-5</c:v>
                </c:pt>
                <c:pt idx="8" formatCode="General">
                  <c:v>2.3119197302135811E-5</c:v>
                </c:pt>
                <c:pt idx="9">
                  <c:v>1.7900000000000005E-5</c:v>
                </c:pt>
                <c:pt idx="10" formatCode="General">
                  <c:v>1.7914983971022942E-5</c:v>
                </c:pt>
                <c:pt idx="11">
                  <c:v>1.3200000000000004E-5</c:v>
                </c:pt>
                <c:pt idx="12" formatCode="General">
                  <c:v>9.3384404013489366E-6</c:v>
                </c:pt>
                <c:pt idx="13" formatCode="General">
                  <c:v>5.9661101627877929E-6</c:v>
                </c:pt>
                <c:pt idx="14">
                  <c:v>3.5100000000000011E-6</c:v>
                </c:pt>
                <c:pt idx="15" formatCode="General">
                  <c:v>3.5097214705025207E-6</c:v>
                </c:pt>
                <c:pt idx="16" formatCode="General">
                  <c:v>8.8679795162163336E-7</c:v>
                </c:pt>
                <c:pt idx="17" formatCode="General">
                  <c:v>0</c:v>
                </c:pt>
              </c:numCache>
            </c:numRef>
          </c:xVal>
          <c:yVal>
            <c:numRef>
              <c:f>'35'!$O$29:$O$46</c:f>
              <c:numCache>
                <c:formatCode>General</c:formatCode>
                <c:ptCount val="18"/>
                <c:pt idx="0">
                  <c:v>88.3</c:v>
                </c:pt>
                <c:pt idx="1">
                  <c:v>88</c:v>
                </c:pt>
                <c:pt idx="2">
                  <c:v>87.5</c:v>
                </c:pt>
                <c:pt idx="3">
                  <c:v>85.77</c:v>
                </c:pt>
              </c:numCache>
            </c:numRef>
          </c:yVal>
        </c:ser>
        <c:axId val="101421056"/>
        <c:axId val="101423360"/>
      </c:scatterChart>
      <c:valAx>
        <c:axId val="101421056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1100"/>
                  <a:t>Ce</a:t>
                </a:r>
              </a:p>
            </c:rich>
          </c:tx>
          <c:layout>
            <c:manualLayout>
              <c:xMode val="edge"/>
              <c:yMode val="edge"/>
              <c:x val="0.48262780585262705"/>
              <c:y val="0.90099351293462893"/>
            </c:manualLayout>
          </c:layout>
        </c:title>
        <c:numFmt formatCode="General" sourceLinked="1"/>
        <c:tickLblPos val="nextTo"/>
        <c:crossAx val="101423360"/>
        <c:crosses val="autoZero"/>
        <c:crossBetween val="midCat"/>
      </c:valAx>
      <c:valAx>
        <c:axId val="101423360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e</a:t>
                </a:r>
              </a:p>
            </c:rich>
          </c:tx>
          <c:layout>
            <c:manualLayout>
              <c:xMode val="edge"/>
              <c:yMode val="edge"/>
              <c:x val="3.6790848905080914E-2"/>
              <c:y val="0.41218936261729838"/>
            </c:manualLayout>
          </c:layout>
        </c:title>
        <c:numFmt formatCode="General" sourceLinked="1"/>
        <c:tickLblPos val="nextTo"/>
        <c:crossAx val="101421056"/>
        <c:crosses val="autoZero"/>
        <c:crossBetween val="midCat"/>
      </c:valAx>
      <c:spPr>
        <a:ln w="25400">
          <a:solidFill>
            <a:sysClr val="windowText" lastClr="000000"/>
          </a:solidFill>
        </a:ln>
      </c:spPr>
    </c:plotArea>
    <c:legend>
      <c:legendPos val="r"/>
      <c:layout>
        <c:manualLayout>
          <c:xMode val="edge"/>
          <c:yMode val="edge"/>
          <c:x val="0.56580427446569226"/>
          <c:y val="0.48870829273431132"/>
          <c:w val="0.35611727638522817"/>
          <c:h val="0.31517060367454119"/>
        </c:manualLayout>
      </c:layout>
      <c:txPr>
        <a:bodyPr/>
        <a:lstStyle/>
        <a:p>
          <a:pPr>
            <a:defRPr sz="1000" b="1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000">
          <a:latin typeface="Arial" pitchFamily="34" charset="0"/>
          <a:cs typeface="Arial" pitchFamily="34" charset="0"/>
        </a:defRPr>
      </a:pPr>
      <a:endParaRPr lang="en-US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0.64167</cdr:x>
      <cdr:y>0.07986</cdr:y>
    </cdr:from>
    <cdr:to>
      <cdr:x>0.6965</cdr:x>
      <cdr:y>0.17641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2933700" y="219075"/>
          <a:ext cx="250715" cy="2648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IV</a:t>
          </a:r>
        </a:p>
      </cdr:txBody>
    </cdr:sp>
  </cdr:relSizeAnchor>
  <cdr:relSizeAnchor xmlns:cdr="http://schemas.openxmlformats.org/drawingml/2006/chartDrawing">
    <cdr:from>
      <cdr:x>0.30591</cdr:x>
      <cdr:y>0.26696</cdr:y>
    </cdr:from>
    <cdr:to>
      <cdr:x>0.39238</cdr:x>
      <cdr:y>0.34864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343276" y="747574"/>
          <a:ext cx="379692" cy="2287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IIB</a:t>
          </a:r>
          <a:endParaRPr lang="en-US" sz="1100" b="1" baseline="-25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0.31408</cdr:x>
      <cdr:y>0.60947</cdr:y>
    </cdr:from>
    <cdr:to>
      <cdr:x>0.40056</cdr:x>
      <cdr:y>0.69117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358178" y="1695115"/>
          <a:ext cx="373970" cy="2272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SSC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B</a:t>
          </a:r>
        </a:p>
      </cdr:txBody>
    </cdr:sp>
  </cdr:relSizeAnchor>
  <cdr:relSizeAnchor xmlns:cdr="http://schemas.openxmlformats.org/drawingml/2006/chartDrawing">
    <cdr:from>
      <cdr:x>0.15196</cdr:x>
      <cdr:y>0.70827</cdr:y>
    </cdr:from>
    <cdr:to>
      <cdr:x>0.17517</cdr:x>
      <cdr:y>0.76768</cdr:y>
    </cdr:to>
    <cdr:sp macro="" textlink="">
      <cdr:nvSpPr>
        <cdr:cNvPr id="8" name="Straight Arrow Connector 7"/>
        <cdr:cNvSpPr/>
      </cdr:nvSpPr>
      <cdr:spPr>
        <a:xfrm xmlns:a="http://schemas.openxmlformats.org/drawingml/2006/main" rot="-11820000">
          <a:off x="684631" y="2064344"/>
          <a:ext cx="104568" cy="173188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5875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 sz="8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0.29717</cdr:x>
      <cdr:y>0.58214</cdr:y>
    </cdr:from>
    <cdr:to>
      <cdr:x>0.33859</cdr:x>
      <cdr:y>0.62605</cdr:y>
    </cdr:to>
    <cdr:sp macro="" textlink="">
      <cdr:nvSpPr>
        <cdr:cNvPr id="9" name="Straight Arrow Connector 8"/>
        <cdr:cNvSpPr/>
      </cdr:nvSpPr>
      <cdr:spPr>
        <a:xfrm xmlns:a="http://schemas.openxmlformats.org/drawingml/2006/main" rot="11100000">
          <a:off x="1338862" y="1696731"/>
          <a:ext cx="186611" cy="127983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905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r>
            <a:rPr lang="en-US" sz="800">
              <a:latin typeface="Arial" pitchFamily="34" charset="0"/>
              <a:cs typeface="Arial" pitchFamily="34" charset="0"/>
            </a:rPr>
            <a:t> </a:t>
          </a:r>
        </a:p>
      </cdr:txBody>
    </cdr:sp>
  </cdr:relSizeAnchor>
  <cdr:relSizeAnchor xmlns:cdr="http://schemas.openxmlformats.org/drawingml/2006/chartDrawing">
    <cdr:from>
      <cdr:x>0.12507</cdr:x>
      <cdr:y>0.74739</cdr:y>
    </cdr:from>
    <cdr:to>
      <cdr:x>0.16726</cdr:x>
      <cdr:y>0.83652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570642" y="2413301"/>
          <a:ext cx="192491" cy="2877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</a:t>
          </a:r>
          <a:endParaRPr lang="en-US" sz="1100" b="1" baseline="-25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0.16428</cdr:x>
      <cdr:y>0.73204</cdr:y>
    </cdr:from>
    <cdr:to>
      <cdr:x>0.25077</cdr:x>
      <cdr:y>0.81374</cdr:y>
    </cdr:to>
    <cdr:sp macro="" textlink="">
      <cdr:nvSpPr>
        <cdr:cNvPr id="11" name="TextBox 1"/>
        <cdr:cNvSpPr txBox="1"/>
      </cdr:nvSpPr>
      <cdr:spPr>
        <a:xfrm xmlns:a="http://schemas.openxmlformats.org/drawingml/2006/main">
          <a:off x="710393" y="2036019"/>
          <a:ext cx="374013" cy="2272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SSC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A</a:t>
          </a:r>
        </a:p>
      </cdr:txBody>
    </cdr:sp>
  </cdr:relSizeAnchor>
  <cdr:relSizeAnchor xmlns:cdr="http://schemas.openxmlformats.org/drawingml/2006/chartDrawing">
    <cdr:from>
      <cdr:x>0.1249</cdr:x>
      <cdr:y>0.51577</cdr:y>
    </cdr:from>
    <cdr:to>
      <cdr:x>0.21138</cdr:x>
      <cdr:y>0.59746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406868" y="1075883"/>
          <a:ext cx="281713" cy="17040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IIA</a:t>
          </a:r>
          <a:endParaRPr lang="en-US" sz="1100" b="1" baseline="-25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</cdr:x>
      <cdr:y>0</cdr:y>
    </cdr:from>
    <cdr:to>
      <cdr:x>0.00568</cdr:x>
      <cdr:y>0.01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0.49082</cdr:x>
      <cdr:y>0.26632</cdr:y>
    </cdr:from>
    <cdr:to>
      <cdr:x>0.6786</cdr:x>
      <cdr:y>0.36232</cdr:y>
    </cdr:to>
    <cdr:sp macro="" textlink="">
      <cdr:nvSpPr>
        <cdr:cNvPr id="13" name="TextBox 1"/>
        <cdr:cNvSpPr txBox="1"/>
      </cdr:nvSpPr>
      <cdr:spPr>
        <a:xfrm xmlns:a="http://schemas.openxmlformats.org/drawingml/2006/main">
          <a:off x="2192613" y="758463"/>
          <a:ext cx="838856" cy="27340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(C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max</a:t>
          </a:r>
          <a:r>
            <a:rPr lang="en-US" sz="1100" b="1">
              <a:latin typeface="Arial" pitchFamily="34" charset="0"/>
              <a:cs typeface="Arial" pitchFamily="34" charset="0"/>
            </a:rPr>
            <a:t>,q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e,max</a:t>
          </a:r>
          <a:r>
            <a:rPr lang="en-US" sz="1100" b="1">
              <a:latin typeface="Arial" pitchFamily="34" charset="0"/>
              <a:cs typeface="Arial" pitchFamily="34" charset="0"/>
            </a:rPr>
            <a:t>)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0.55587</cdr:x>
      <cdr:y>0.1998</cdr:y>
    </cdr:from>
    <cdr:to>
      <cdr:x>0.56606</cdr:x>
      <cdr:y>0.27577</cdr:y>
    </cdr:to>
    <cdr:sp macro="" textlink="">
      <cdr:nvSpPr>
        <cdr:cNvPr id="23" name="Straight Arrow Connector 13"/>
        <cdr:cNvSpPr/>
      </cdr:nvSpPr>
      <cdr:spPr>
        <a:xfrm xmlns:a="http://schemas.openxmlformats.org/drawingml/2006/main" rot="-780000" flipV="1">
          <a:off x="2504364" y="582353"/>
          <a:ext cx="45909" cy="221426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5875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 sz="800">
            <a:solidFill>
              <a:srgbClr val="0000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5127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2017-11-17T12:59:00Z</dcterms:created>
  <dcterms:modified xsi:type="dcterms:W3CDTF">2018-12-26T03:00:00Z</dcterms:modified>
</cp:coreProperties>
</file>